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70" w:rsidRDefault="00775AFE">
      <w:pPr>
        <w:pBdr>
          <w:top w:val="nil"/>
          <w:left w:val="nil"/>
          <w:bottom w:val="nil"/>
          <w:right w:val="nil"/>
          <w:between w:val="nil"/>
        </w:pBdr>
        <w:tabs>
          <w:tab w:val="left" w:pos="8273"/>
        </w:tabs>
        <w:rPr>
          <w:rFonts w:ascii="Arial" w:eastAsia="Arial" w:hAnsi="Arial" w:cs="Arial"/>
          <w:color w:val="000000"/>
          <w:sz w:val="22"/>
          <w:szCs w:val="22"/>
        </w:rPr>
      </w:pPr>
      <w:r>
        <w:rPr>
          <w:rFonts w:ascii="Arial" w:eastAsia="Arial" w:hAnsi="Arial" w:cs="Arial"/>
          <w:color w:val="000000"/>
          <w:sz w:val="22"/>
          <w:szCs w:val="22"/>
        </w:rPr>
        <w:tab/>
      </w:r>
      <w:r w:rsidR="008D0163">
        <w:rPr>
          <w:noProof/>
        </w:rPr>
        <w:drawing>
          <wp:anchor distT="0" distB="0" distL="0" distR="0" simplePos="0" relativeHeight="251658240" behindDoc="1" locked="0" layoutInCell="1" hidden="0" allowOverlap="1">
            <wp:simplePos x="0" y="0"/>
            <wp:positionH relativeFrom="column">
              <wp:posOffset>-365124</wp:posOffset>
            </wp:positionH>
            <wp:positionV relativeFrom="paragraph">
              <wp:posOffset>-216533</wp:posOffset>
            </wp:positionV>
            <wp:extent cx="4492625" cy="14370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92625" cy="1437005"/>
                    </a:xfrm>
                    <a:prstGeom prst="rect">
                      <a:avLst/>
                    </a:prstGeom>
                    <a:ln/>
                  </pic:spPr>
                </pic:pic>
              </a:graphicData>
            </a:graphic>
            <wp14:sizeRelH relativeFrom="margin">
              <wp14:pctWidth>0</wp14:pctWidth>
            </wp14:sizeRelH>
            <wp14:sizeRelV relativeFrom="margin">
              <wp14:pctHeight>0</wp14:pctHeight>
            </wp14:sizeRelV>
          </wp:anchor>
        </w:drawing>
      </w:r>
    </w:p>
    <w:p w:rsidR="002C7070" w:rsidRDefault="002C7070">
      <w:pPr>
        <w:pBdr>
          <w:top w:val="nil"/>
          <w:left w:val="nil"/>
          <w:bottom w:val="nil"/>
          <w:right w:val="nil"/>
          <w:between w:val="nil"/>
        </w:pBdr>
        <w:rPr>
          <w:rFonts w:ascii="Arial" w:eastAsia="Arial" w:hAnsi="Arial" w:cs="Arial"/>
          <w:color w:val="000000"/>
          <w:sz w:val="22"/>
          <w:szCs w:val="22"/>
        </w:rPr>
      </w:pPr>
    </w:p>
    <w:p w:rsidR="002C7070" w:rsidRDefault="002C7070">
      <w:pPr>
        <w:pBdr>
          <w:top w:val="nil"/>
          <w:left w:val="nil"/>
          <w:bottom w:val="nil"/>
          <w:right w:val="nil"/>
          <w:between w:val="nil"/>
        </w:pBdr>
        <w:rPr>
          <w:rFonts w:ascii="Arial" w:eastAsia="Arial" w:hAnsi="Arial" w:cs="Arial"/>
          <w:color w:val="000000"/>
          <w:sz w:val="22"/>
          <w:szCs w:val="22"/>
        </w:rPr>
      </w:pPr>
    </w:p>
    <w:p w:rsidR="002C7070" w:rsidRDefault="002C7070">
      <w:pPr>
        <w:pBdr>
          <w:top w:val="nil"/>
          <w:left w:val="nil"/>
          <w:bottom w:val="nil"/>
          <w:right w:val="nil"/>
          <w:between w:val="nil"/>
        </w:pBdr>
        <w:rPr>
          <w:rFonts w:ascii="Arial" w:eastAsia="Arial" w:hAnsi="Arial" w:cs="Arial"/>
          <w:color w:val="000000"/>
          <w:sz w:val="22"/>
          <w:szCs w:val="22"/>
        </w:rPr>
      </w:pPr>
    </w:p>
    <w:tbl>
      <w:tblPr>
        <w:tblStyle w:val="a"/>
        <w:tblW w:w="9287" w:type="dxa"/>
        <w:tblInd w:w="0" w:type="dxa"/>
        <w:tblLayout w:type="fixed"/>
        <w:tblLook w:val="0000" w:firstRow="0" w:lastRow="0" w:firstColumn="0" w:lastColumn="0" w:noHBand="0" w:noVBand="0"/>
      </w:tblPr>
      <w:tblGrid>
        <w:gridCol w:w="3494"/>
        <w:gridCol w:w="2850"/>
        <w:gridCol w:w="2943"/>
      </w:tblGrid>
      <w:tr w:rsidR="002C7070">
        <w:tc>
          <w:tcPr>
            <w:tcW w:w="3494" w:type="dxa"/>
            <w:vAlign w:val="center"/>
          </w:tcPr>
          <w:p w:rsidR="002C7070" w:rsidRDefault="002C7070">
            <w:pPr>
              <w:pBdr>
                <w:top w:val="nil"/>
                <w:left w:val="nil"/>
                <w:bottom w:val="nil"/>
                <w:right w:val="nil"/>
                <w:between w:val="nil"/>
              </w:pBdr>
              <w:jc w:val="center"/>
              <w:rPr>
                <w:rFonts w:ascii="Arial" w:eastAsia="Arial" w:hAnsi="Arial" w:cs="Arial"/>
                <w:color w:val="000000"/>
                <w:sz w:val="22"/>
                <w:szCs w:val="22"/>
              </w:rPr>
            </w:pPr>
          </w:p>
        </w:tc>
        <w:tc>
          <w:tcPr>
            <w:tcW w:w="2850" w:type="dxa"/>
            <w:vAlign w:val="center"/>
          </w:tcPr>
          <w:p w:rsidR="002C7070" w:rsidRDefault="002C7070">
            <w:pPr>
              <w:pBdr>
                <w:top w:val="nil"/>
                <w:left w:val="nil"/>
                <w:bottom w:val="nil"/>
                <w:right w:val="nil"/>
                <w:between w:val="nil"/>
              </w:pBdr>
              <w:jc w:val="center"/>
              <w:rPr>
                <w:rFonts w:ascii="Arial" w:eastAsia="Arial" w:hAnsi="Arial" w:cs="Arial"/>
                <w:color w:val="000000"/>
                <w:sz w:val="22"/>
                <w:szCs w:val="22"/>
              </w:rPr>
            </w:pPr>
          </w:p>
        </w:tc>
        <w:tc>
          <w:tcPr>
            <w:tcW w:w="2943" w:type="dxa"/>
            <w:vAlign w:val="center"/>
          </w:tcPr>
          <w:p w:rsidR="002C7070" w:rsidRDefault="002C7070">
            <w:pPr>
              <w:pBdr>
                <w:top w:val="nil"/>
                <w:left w:val="nil"/>
                <w:bottom w:val="nil"/>
                <w:right w:val="nil"/>
                <w:between w:val="nil"/>
              </w:pBdr>
              <w:jc w:val="center"/>
              <w:rPr>
                <w:rFonts w:ascii="Arial" w:eastAsia="Arial" w:hAnsi="Arial" w:cs="Arial"/>
                <w:color w:val="000000"/>
                <w:sz w:val="22"/>
                <w:szCs w:val="22"/>
              </w:rPr>
            </w:pPr>
          </w:p>
        </w:tc>
      </w:tr>
    </w:tbl>
    <w:p w:rsidR="002C7070" w:rsidRDefault="002C7070">
      <w:pPr>
        <w:pBdr>
          <w:top w:val="nil"/>
          <w:left w:val="nil"/>
          <w:bottom w:val="nil"/>
          <w:right w:val="nil"/>
          <w:between w:val="nil"/>
        </w:pBdr>
        <w:rPr>
          <w:rFonts w:ascii="Arial" w:eastAsia="Arial" w:hAnsi="Arial" w:cs="Arial"/>
          <w:color w:val="000000"/>
          <w:sz w:val="22"/>
          <w:szCs w:val="22"/>
        </w:rPr>
      </w:pPr>
    </w:p>
    <w:tbl>
      <w:tblPr>
        <w:tblStyle w:val="a0"/>
        <w:tblW w:w="9360" w:type="dxa"/>
        <w:tblInd w:w="0" w:type="dxa"/>
        <w:tblLayout w:type="fixed"/>
        <w:tblLook w:val="0000" w:firstRow="0" w:lastRow="0" w:firstColumn="0" w:lastColumn="0" w:noHBand="0" w:noVBand="0"/>
      </w:tblPr>
      <w:tblGrid>
        <w:gridCol w:w="1080"/>
        <w:gridCol w:w="2160"/>
        <w:gridCol w:w="1080"/>
        <w:gridCol w:w="1620"/>
        <w:gridCol w:w="3420"/>
      </w:tblGrid>
      <w:tr w:rsidR="002C7070">
        <w:tc>
          <w:tcPr>
            <w:tcW w:w="1080" w:type="dxa"/>
            <w:vAlign w:val="center"/>
          </w:tcPr>
          <w:p w:rsidR="002C7070" w:rsidRPr="005A5B1B" w:rsidRDefault="002C7070">
            <w:pPr>
              <w:pBdr>
                <w:top w:val="nil"/>
                <w:left w:val="nil"/>
                <w:bottom w:val="nil"/>
                <w:right w:val="nil"/>
                <w:between w:val="nil"/>
              </w:pBdr>
              <w:jc w:val="right"/>
              <w:rPr>
                <w:rFonts w:ascii="Arial" w:eastAsia="Arial" w:hAnsi="Arial" w:cs="Arial"/>
                <w:color w:val="000000"/>
                <w:sz w:val="22"/>
                <w:szCs w:val="22"/>
                <w:highlight w:val="yellow"/>
              </w:rPr>
            </w:pPr>
          </w:p>
        </w:tc>
        <w:tc>
          <w:tcPr>
            <w:tcW w:w="2160" w:type="dxa"/>
            <w:vAlign w:val="center"/>
          </w:tcPr>
          <w:p w:rsidR="002C7070" w:rsidRPr="005A5B1B" w:rsidRDefault="002C7070">
            <w:pPr>
              <w:pBdr>
                <w:top w:val="nil"/>
                <w:left w:val="nil"/>
                <w:bottom w:val="nil"/>
                <w:right w:val="nil"/>
                <w:between w:val="nil"/>
              </w:pBdr>
              <w:rPr>
                <w:rFonts w:ascii="Arial" w:eastAsia="Arial" w:hAnsi="Arial" w:cs="Arial"/>
                <w:color w:val="000000"/>
                <w:sz w:val="22"/>
                <w:szCs w:val="22"/>
                <w:highlight w:val="yellow"/>
              </w:rPr>
            </w:pPr>
          </w:p>
        </w:tc>
        <w:tc>
          <w:tcPr>
            <w:tcW w:w="1080" w:type="dxa"/>
            <w:vAlign w:val="center"/>
          </w:tcPr>
          <w:p w:rsidR="002C7070" w:rsidRDefault="002C7070">
            <w:pPr>
              <w:pBdr>
                <w:top w:val="nil"/>
                <w:left w:val="nil"/>
                <w:bottom w:val="nil"/>
                <w:right w:val="nil"/>
                <w:between w:val="nil"/>
              </w:pBdr>
              <w:rPr>
                <w:rFonts w:ascii="Arial" w:eastAsia="Arial" w:hAnsi="Arial" w:cs="Arial"/>
                <w:color w:val="000000"/>
                <w:sz w:val="22"/>
                <w:szCs w:val="22"/>
              </w:rPr>
            </w:pPr>
          </w:p>
        </w:tc>
        <w:tc>
          <w:tcPr>
            <w:tcW w:w="1620" w:type="dxa"/>
            <w:vAlign w:val="center"/>
          </w:tcPr>
          <w:p w:rsidR="002C7070" w:rsidRDefault="002C7070">
            <w:pPr>
              <w:pBdr>
                <w:top w:val="nil"/>
                <w:left w:val="nil"/>
                <w:bottom w:val="nil"/>
                <w:right w:val="nil"/>
                <w:between w:val="nil"/>
              </w:pBdr>
              <w:jc w:val="right"/>
              <w:rPr>
                <w:rFonts w:ascii="Arial" w:eastAsia="Arial" w:hAnsi="Arial" w:cs="Arial"/>
                <w:color w:val="000000"/>
                <w:sz w:val="22"/>
                <w:szCs w:val="22"/>
              </w:rPr>
            </w:pPr>
          </w:p>
        </w:tc>
        <w:tc>
          <w:tcPr>
            <w:tcW w:w="3420" w:type="dxa"/>
            <w:vAlign w:val="center"/>
          </w:tcPr>
          <w:p w:rsidR="002C7070" w:rsidRDefault="002C7070">
            <w:pPr>
              <w:pBdr>
                <w:top w:val="nil"/>
                <w:left w:val="nil"/>
                <w:bottom w:val="nil"/>
                <w:right w:val="nil"/>
                <w:between w:val="nil"/>
              </w:pBdr>
              <w:rPr>
                <w:rFonts w:ascii="Arial" w:eastAsia="Arial" w:hAnsi="Arial" w:cs="Arial"/>
                <w:color w:val="000000"/>
                <w:sz w:val="22"/>
                <w:szCs w:val="22"/>
              </w:rPr>
            </w:pPr>
          </w:p>
        </w:tc>
      </w:tr>
      <w:tr w:rsidR="002C7070">
        <w:tc>
          <w:tcPr>
            <w:tcW w:w="1080" w:type="dxa"/>
            <w:vAlign w:val="center"/>
          </w:tcPr>
          <w:p w:rsidR="002C7070" w:rsidRPr="005A5B1B" w:rsidRDefault="002C7070">
            <w:pPr>
              <w:pBdr>
                <w:top w:val="nil"/>
                <w:left w:val="nil"/>
                <w:bottom w:val="nil"/>
                <w:right w:val="nil"/>
                <w:between w:val="nil"/>
              </w:pBdr>
              <w:jc w:val="right"/>
              <w:rPr>
                <w:rFonts w:ascii="Arial" w:eastAsia="Arial" w:hAnsi="Arial" w:cs="Arial"/>
                <w:color w:val="000000"/>
                <w:sz w:val="22"/>
                <w:szCs w:val="22"/>
                <w:highlight w:val="yellow"/>
              </w:rPr>
            </w:pPr>
          </w:p>
        </w:tc>
        <w:tc>
          <w:tcPr>
            <w:tcW w:w="2160" w:type="dxa"/>
            <w:vAlign w:val="center"/>
          </w:tcPr>
          <w:p w:rsidR="002C7070" w:rsidRPr="005A5B1B" w:rsidRDefault="002C7070">
            <w:pPr>
              <w:pBdr>
                <w:top w:val="nil"/>
                <w:left w:val="nil"/>
                <w:bottom w:val="nil"/>
                <w:right w:val="nil"/>
                <w:between w:val="nil"/>
              </w:pBdr>
              <w:rPr>
                <w:rFonts w:ascii="Arial" w:eastAsia="Arial" w:hAnsi="Arial" w:cs="Arial"/>
                <w:color w:val="000000"/>
                <w:sz w:val="22"/>
                <w:szCs w:val="22"/>
                <w:highlight w:val="yellow"/>
              </w:rPr>
            </w:pPr>
          </w:p>
        </w:tc>
        <w:tc>
          <w:tcPr>
            <w:tcW w:w="1080" w:type="dxa"/>
            <w:vAlign w:val="center"/>
          </w:tcPr>
          <w:p w:rsidR="002C7070" w:rsidRDefault="002C7070">
            <w:pPr>
              <w:pBdr>
                <w:top w:val="nil"/>
                <w:left w:val="nil"/>
                <w:bottom w:val="nil"/>
                <w:right w:val="nil"/>
                <w:between w:val="nil"/>
              </w:pBdr>
              <w:rPr>
                <w:rFonts w:ascii="Arial" w:eastAsia="Arial" w:hAnsi="Arial" w:cs="Arial"/>
                <w:color w:val="000000"/>
                <w:sz w:val="22"/>
                <w:szCs w:val="22"/>
              </w:rPr>
            </w:pPr>
          </w:p>
        </w:tc>
        <w:tc>
          <w:tcPr>
            <w:tcW w:w="1620" w:type="dxa"/>
            <w:vAlign w:val="center"/>
          </w:tcPr>
          <w:p w:rsidR="002C7070" w:rsidRDefault="002C7070">
            <w:pPr>
              <w:pBdr>
                <w:top w:val="nil"/>
                <w:left w:val="nil"/>
                <w:bottom w:val="nil"/>
                <w:right w:val="nil"/>
                <w:between w:val="nil"/>
              </w:pBdr>
              <w:jc w:val="right"/>
              <w:rPr>
                <w:rFonts w:ascii="Arial" w:eastAsia="Arial" w:hAnsi="Arial" w:cs="Arial"/>
                <w:color w:val="000000"/>
                <w:sz w:val="22"/>
                <w:szCs w:val="22"/>
              </w:rPr>
            </w:pPr>
          </w:p>
        </w:tc>
        <w:tc>
          <w:tcPr>
            <w:tcW w:w="3420" w:type="dxa"/>
            <w:vAlign w:val="center"/>
          </w:tcPr>
          <w:p w:rsidR="002C7070" w:rsidRDefault="002C7070">
            <w:pPr>
              <w:pBdr>
                <w:top w:val="nil"/>
                <w:left w:val="nil"/>
                <w:bottom w:val="nil"/>
                <w:right w:val="nil"/>
                <w:between w:val="nil"/>
              </w:pBdr>
              <w:rPr>
                <w:rFonts w:ascii="Arial" w:eastAsia="Arial" w:hAnsi="Arial" w:cs="Arial"/>
                <w:color w:val="000000"/>
                <w:sz w:val="22"/>
                <w:szCs w:val="22"/>
              </w:rPr>
            </w:pPr>
          </w:p>
        </w:tc>
      </w:tr>
    </w:tbl>
    <w:p w:rsidR="002C7070" w:rsidRDefault="002C7070">
      <w:pPr>
        <w:pBdr>
          <w:top w:val="nil"/>
          <w:left w:val="nil"/>
          <w:bottom w:val="nil"/>
          <w:right w:val="nil"/>
          <w:between w:val="nil"/>
        </w:pBdr>
        <w:ind w:left="-181" w:right="-210"/>
        <w:jc w:val="both"/>
        <w:rPr>
          <w:rFonts w:ascii="Arial" w:eastAsia="Arial" w:hAnsi="Arial" w:cs="Arial"/>
          <w:color w:val="000000"/>
          <w:sz w:val="22"/>
          <w:szCs w:val="22"/>
        </w:rPr>
      </w:pPr>
    </w:p>
    <w:p w:rsidR="002C7070" w:rsidRDefault="002C7070">
      <w:pPr>
        <w:pBdr>
          <w:top w:val="nil"/>
          <w:left w:val="nil"/>
          <w:bottom w:val="nil"/>
          <w:right w:val="nil"/>
          <w:between w:val="nil"/>
        </w:pBdr>
        <w:ind w:left="-181" w:right="-210"/>
        <w:jc w:val="both"/>
        <w:rPr>
          <w:rFonts w:ascii="Arial" w:eastAsia="Arial" w:hAnsi="Arial" w:cs="Arial"/>
          <w:color w:val="000000"/>
          <w:sz w:val="22"/>
          <w:szCs w:val="22"/>
        </w:rPr>
      </w:pPr>
    </w:p>
    <w:p w:rsidR="002C7070" w:rsidRDefault="00775AF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SPREMEMBA RAZPISNE DOKUMENTACIJE </w:t>
      </w:r>
    </w:p>
    <w:p w:rsidR="002C7070" w:rsidRDefault="00775AF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za oddajo javnega naročila </w:t>
      </w:r>
    </w:p>
    <w:p w:rsidR="002C7070" w:rsidRDefault="002C7070">
      <w:pPr>
        <w:pBdr>
          <w:top w:val="nil"/>
          <w:left w:val="nil"/>
          <w:bottom w:val="nil"/>
          <w:right w:val="nil"/>
          <w:between w:val="nil"/>
        </w:pBdr>
        <w:rPr>
          <w:rFonts w:ascii="Arial" w:eastAsia="Arial" w:hAnsi="Arial" w:cs="Arial"/>
          <w:color w:val="000000"/>
          <w:sz w:val="22"/>
          <w:szCs w:val="22"/>
        </w:rPr>
      </w:pPr>
    </w:p>
    <w:tbl>
      <w:tblPr>
        <w:tblStyle w:val="a1"/>
        <w:tblW w:w="9288" w:type="dxa"/>
        <w:tblInd w:w="0" w:type="dxa"/>
        <w:tblLayout w:type="fixed"/>
        <w:tblLook w:val="0000" w:firstRow="0" w:lastRow="0" w:firstColumn="0" w:lastColumn="0" w:noHBand="0" w:noVBand="0"/>
      </w:tblPr>
      <w:tblGrid>
        <w:gridCol w:w="9288"/>
      </w:tblGrid>
      <w:tr w:rsidR="002C7070">
        <w:tc>
          <w:tcPr>
            <w:tcW w:w="9288" w:type="dxa"/>
          </w:tcPr>
          <w:p w:rsidR="008D0163" w:rsidRDefault="00B941FE">
            <w:pPr>
              <w:pBdr>
                <w:top w:val="nil"/>
                <w:left w:val="nil"/>
                <w:bottom w:val="nil"/>
                <w:right w:val="nil"/>
                <w:between w:val="nil"/>
              </w:pBdr>
              <w:jc w:val="center"/>
              <w:rPr>
                <w:rFonts w:ascii="Arial" w:eastAsia="Arial" w:hAnsi="Arial" w:cs="Arial"/>
                <w:b/>
                <w:bCs/>
                <w:color w:val="000000"/>
                <w:sz w:val="22"/>
                <w:szCs w:val="22"/>
              </w:rPr>
            </w:pPr>
            <w:bookmarkStart w:id="0" w:name="_Hlk100057761"/>
            <w:r w:rsidRPr="00B941FE">
              <w:rPr>
                <w:rFonts w:ascii="Arial" w:eastAsia="Arial" w:hAnsi="Arial" w:cs="Arial"/>
                <w:b/>
                <w:bCs/>
                <w:color w:val="000000"/>
                <w:sz w:val="22"/>
                <w:szCs w:val="22"/>
              </w:rPr>
              <w:t>Gradnja nadomestnega železniškega nadvoza čez Dunajsko cesto v Ljubljani v okviru nadgradnje železniške postaje Ljubljana</w:t>
            </w:r>
          </w:p>
          <w:bookmarkEnd w:id="0"/>
          <w:p w:rsidR="00B941FE" w:rsidRPr="005A5B1B" w:rsidRDefault="00B941FE">
            <w:pPr>
              <w:pBdr>
                <w:top w:val="nil"/>
                <w:left w:val="nil"/>
                <w:bottom w:val="nil"/>
                <w:right w:val="nil"/>
                <w:between w:val="nil"/>
              </w:pBdr>
              <w:jc w:val="center"/>
              <w:rPr>
                <w:rFonts w:ascii="Arial" w:eastAsia="Arial" w:hAnsi="Arial" w:cs="Arial"/>
                <w:b/>
                <w:color w:val="000000"/>
                <w:sz w:val="22"/>
                <w:szCs w:val="22"/>
              </w:rPr>
            </w:pPr>
          </w:p>
        </w:tc>
      </w:tr>
    </w:tbl>
    <w:p w:rsidR="002C7070" w:rsidRDefault="002C7070">
      <w:pPr>
        <w:pBdr>
          <w:top w:val="nil"/>
          <w:left w:val="nil"/>
          <w:bottom w:val="nil"/>
          <w:right w:val="nil"/>
          <w:between w:val="nil"/>
        </w:pBdr>
        <w:jc w:val="both"/>
        <w:rPr>
          <w:rFonts w:ascii="Arial" w:eastAsia="Arial" w:hAnsi="Arial" w:cs="Arial"/>
          <w:color w:val="000000"/>
          <w:sz w:val="22"/>
          <w:szCs w:val="22"/>
        </w:rPr>
      </w:pPr>
    </w:p>
    <w:p w:rsidR="00396098" w:rsidRDefault="00775A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Obvestilo o spremembi razpisne dokumentacije je objavljeno na "Portalu javnih naročil" </w:t>
      </w:r>
    </w:p>
    <w:p w:rsidR="00396098" w:rsidRDefault="00396098">
      <w:pPr>
        <w:pBdr>
          <w:top w:val="nil"/>
          <w:left w:val="nil"/>
          <w:bottom w:val="nil"/>
          <w:right w:val="nil"/>
          <w:between w:val="nil"/>
        </w:pBdr>
        <w:jc w:val="both"/>
        <w:rPr>
          <w:rFonts w:ascii="Arial" w:eastAsia="Arial" w:hAnsi="Arial" w:cs="Arial"/>
          <w:color w:val="000000"/>
          <w:sz w:val="22"/>
          <w:szCs w:val="22"/>
        </w:rPr>
      </w:pPr>
    </w:p>
    <w:p w:rsidR="002C7070" w:rsidRDefault="002C7070">
      <w:pPr>
        <w:pBdr>
          <w:top w:val="nil"/>
          <w:left w:val="nil"/>
          <w:bottom w:val="nil"/>
          <w:right w:val="nil"/>
          <w:between w:val="nil"/>
        </w:pBdr>
        <w:jc w:val="both"/>
        <w:rPr>
          <w:rFonts w:ascii="Arial" w:eastAsia="Arial" w:hAnsi="Arial" w:cs="Arial"/>
          <w:color w:val="000000"/>
          <w:sz w:val="22"/>
          <w:szCs w:val="22"/>
        </w:rPr>
      </w:pPr>
    </w:p>
    <w:p w:rsidR="002C7070" w:rsidRDefault="00775A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Obrazložitev sprememb:</w:t>
      </w:r>
    </w:p>
    <w:tbl>
      <w:tblPr>
        <w:tblStyle w:val="a2"/>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7"/>
      </w:tblGrid>
      <w:tr w:rsidR="002C7070" w:rsidTr="00F13610">
        <w:trPr>
          <w:trHeight w:val="835"/>
        </w:trPr>
        <w:tc>
          <w:tcPr>
            <w:tcW w:w="9287" w:type="dxa"/>
          </w:tcPr>
          <w:p w:rsidR="00B941FE" w:rsidRDefault="00B941FE" w:rsidP="00B941FE">
            <w:pPr>
              <w:rPr>
                <w:rFonts w:ascii="Arial" w:hAnsi="Arial" w:cs="Arial"/>
                <w:sz w:val="22"/>
                <w:szCs w:val="22"/>
              </w:rPr>
            </w:pPr>
          </w:p>
          <w:p w:rsidR="00BB1D10" w:rsidRPr="007A529F" w:rsidRDefault="00BB1D10" w:rsidP="00BB1D10">
            <w:pPr>
              <w:pStyle w:val="Odstavekseznama"/>
              <w:numPr>
                <w:ilvl w:val="0"/>
                <w:numId w:val="6"/>
              </w:numPr>
              <w:pBdr>
                <w:top w:val="nil"/>
                <w:left w:val="nil"/>
                <w:bottom w:val="nil"/>
                <w:right w:val="nil"/>
                <w:between w:val="nil"/>
              </w:pBdr>
              <w:rPr>
                <w:rFonts w:ascii="Arial" w:eastAsia="Arial" w:hAnsi="Arial" w:cs="Arial"/>
                <w:color w:val="000000"/>
              </w:rPr>
            </w:pPr>
            <w:r w:rsidRPr="007A529F">
              <w:rPr>
                <w:rFonts w:ascii="Arial" w:eastAsia="Arial" w:hAnsi="Arial" w:cs="Arial"/>
                <w:color w:val="000000"/>
              </w:rPr>
              <w:t>Točka 1 Navodil za pripravo ponudbe se v delu, kjer sta navedena roka spremeni tako, da se glasi:</w:t>
            </w:r>
          </w:p>
          <w:p w:rsidR="00BB1D10" w:rsidRDefault="00BB1D10" w:rsidP="00BB1D10">
            <w:pPr>
              <w:pBdr>
                <w:top w:val="nil"/>
                <w:left w:val="nil"/>
                <w:bottom w:val="nil"/>
                <w:right w:val="nil"/>
                <w:between w:val="nil"/>
              </w:pBdr>
              <w:rPr>
                <w:rFonts w:ascii="Arial" w:eastAsia="Arial" w:hAnsi="Arial" w:cs="Arial"/>
                <w:color w:val="000000"/>
              </w:rPr>
            </w:pPr>
          </w:p>
          <w:tbl>
            <w:tblPr>
              <w:tblStyle w:val="Tabelamrea"/>
              <w:tblW w:w="9344" w:type="dxa"/>
              <w:tblInd w:w="677" w:type="dxa"/>
              <w:tblLayout w:type="fixed"/>
              <w:tblLook w:val="04A0" w:firstRow="1" w:lastRow="0" w:firstColumn="1" w:lastColumn="0" w:noHBand="0" w:noVBand="1"/>
            </w:tblPr>
            <w:tblGrid>
              <w:gridCol w:w="2464"/>
              <w:gridCol w:w="1979"/>
              <w:gridCol w:w="1805"/>
              <w:gridCol w:w="3096"/>
            </w:tblGrid>
            <w:tr w:rsidR="00BB1D10" w:rsidRPr="005C7362" w:rsidTr="00D25C77">
              <w:tc>
                <w:tcPr>
                  <w:tcW w:w="2464" w:type="dxa"/>
                </w:tcPr>
                <w:p w:rsidR="00BB1D10" w:rsidRPr="005C7362" w:rsidRDefault="00BB1D10" w:rsidP="00BB1D10">
                  <w:pPr>
                    <w:tabs>
                      <w:tab w:val="left" w:pos="540"/>
                    </w:tabs>
                    <w:jc w:val="both"/>
                    <w:outlineLvl w:val="0"/>
                    <w:rPr>
                      <w:rFonts w:ascii="Arial" w:hAnsi="Arial" w:cs="Arial"/>
                    </w:rPr>
                  </w:pPr>
                  <w:r w:rsidRPr="005C7362">
                    <w:rPr>
                      <w:rFonts w:ascii="Arial" w:hAnsi="Arial" w:cs="Arial"/>
                    </w:rPr>
                    <w:t xml:space="preserve">Rok za oddajo ponudb </w:t>
                  </w:r>
                </w:p>
                <w:p w:rsidR="00BB1D10" w:rsidRPr="005C7362" w:rsidRDefault="00BB1D10" w:rsidP="00BB1D10">
                  <w:pPr>
                    <w:tabs>
                      <w:tab w:val="left" w:pos="540"/>
                    </w:tabs>
                    <w:jc w:val="both"/>
                    <w:outlineLvl w:val="0"/>
                    <w:rPr>
                      <w:rFonts w:ascii="Arial" w:hAnsi="Arial" w:cs="Arial"/>
                    </w:rPr>
                  </w:pPr>
                  <w:r w:rsidRPr="005C7362">
                    <w:rPr>
                      <w:rFonts w:ascii="Arial" w:hAnsi="Arial" w:cs="Arial"/>
                    </w:rPr>
                    <w:t>(datum, ura, e-naslov):</w:t>
                  </w:r>
                </w:p>
              </w:tc>
              <w:tc>
                <w:tcPr>
                  <w:tcW w:w="1979" w:type="dxa"/>
                  <w:vAlign w:val="center"/>
                </w:tcPr>
                <w:p w:rsidR="00BB1D10" w:rsidRPr="007C64DC" w:rsidRDefault="007C64DC" w:rsidP="007C64DC">
                  <w:pPr>
                    <w:tabs>
                      <w:tab w:val="left" w:pos="540"/>
                    </w:tabs>
                    <w:jc w:val="center"/>
                    <w:outlineLvl w:val="0"/>
                    <w:rPr>
                      <w:rFonts w:ascii="Arial" w:hAnsi="Arial" w:cs="Arial"/>
                      <w:b/>
                    </w:rPr>
                  </w:pPr>
                  <w:r>
                    <w:rPr>
                      <w:rFonts w:ascii="Arial" w:hAnsi="Arial" w:cs="Arial"/>
                      <w:b/>
                    </w:rPr>
                    <w:t>31.5</w:t>
                  </w:r>
                  <w:r w:rsidR="00BB1D10" w:rsidRPr="005C7362">
                    <w:rPr>
                      <w:rFonts w:ascii="Arial" w:hAnsi="Arial" w:cs="Arial"/>
                      <w:b/>
                    </w:rPr>
                    <w:t xml:space="preserve">. </w:t>
                  </w:r>
                  <w:r w:rsidR="00BB1D10" w:rsidRPr="005C7362">
                    <w:rPr>
                      <w:rFonts w:ascii="Arial" w:hAnsi="Arial"/>
                      <w:b/>
                    </w:rPr>
                    <w:t>2022</w:t>
                  </w:r>
                </w:p>
              </w:tc>
              <w:tc>
                <w:tcPr>
                  <w:tcW w:w="1805" w:type="dxa"/>
                  <w:vAlign w:val="center"/>
                </w:tcPr>
                <w:p w:rsidR="00BB1D10" w:rsidRPr="005C7362" w:rsidRDefault="00BB1D10" w:rsidP="00BB1D10">
                  <w:pPr>
                    <w:tabs>
                      <w:tab w:val="left" w:pos="540"/>
                    </w:tabs>
                    <w:jc w:val="center"/>
                    <w:outlineLvl w:val="0"/>
                    <w:rPr>
                      <w:rFonts w:ascii="Arial" w:hAnsi="Arial"/>
                      <w:b/>
                    </w:rPr>
                  </w:pPr>
                  <w:r w:rsidRPr="005C7362">
                    <w:rPr>
                      <w:rFonts w:ascii="Arial" w:hAnsi="Arial" w:cs="Arial"/>
                      <w:b/>
                    </w:rPr>
                    <w:t>10:00</w:t>
                  </w:r>
                </w:p>
              </w:tc>
              <w:tc>
                <w:tcPr>
                  <w:tcW w:w="3096" w:type="dxa"/>
                </w:tcPr>
                <w:p w:rsidR="00BB1D10" w:rsidRPr="005C7362" w:rsidRDefault="007C64DC" w:rsidP="00BB1D10">
                  <w:pPr>
                    <w:tabs>
                      <w:tab w:val="left" w:pos="540"/>
                    </w:tabs>
                    <w:jc w:val="both"/>
                    <w:outlineLvl w:val="0"/>
                    <w:rPr>
                      <w:rFonts w:ascii="Arial" w:hAnsi="Arial" w:cs="Arial"/>
                    </w:rPr>
                  </w:pPr>
                  <w:hyperlink r:id="rId8" w:history="1">
                    <w:r w:rsidR="00BB1D10" w:rsidRPr="005C7362">
                      <w:rPr>
                        <w:rStyle w:val="Hiperpovezava"/>
                        <w:rFonts w:ascii="Arial" w:hAnsi="Arial" w:cs="Arial"/>
                      </w:rPr>
                      <w:t>https://ejn.gov.si/eJN2</w:t>
                    </w:r>
                  </w:hyperlink>
                </w:p>
                <w:p w:rsidR="00BB1D10" w:rsidRPr="005C7362" w:rsidRDefault="00BB1D10" w:rsidP="00BB1D10">
                  <w:pPr>
                    <w:tabs>
                      <w:tab w:val="left" w:pos="540"/>
                    </w:tabs>
                    <w:jc w:val="both"/>
                    <w:outlineLvl w:val="0"/>
                    <w:rPr>
                      <w:rFonts w:ascii="Arial" w:hAnsi="Arial" w:cs="Arial"/>
                    </w:rPr>
                  </w:pPr>
                </w:p>
              </w:tc>
            </w:tr>
            <w:tr w:rsidR="00BB1D10" w:rsidRPr="005C7362" w:rsidTr="00D25C77">
              <w:tc>
                <w:tcPr>
                  <w:tcW w:w="2464" w:type="dxa"/>
                </w:tcPr>
                <w:p w:rsidR="00BB1D10" w:rsidRPr="005C7362" w:rsidRDefault="00BB1D10" w:rsidP="00BB1D10">
                  <w:pPr>
                    <w:tabs>
                      <w:tab w:val="left" w:pos="540"/>
                    </w:tabs>
                    <w:jc w:val="both"/>
                    <w:outlineLvl w:val="0"/>
                    <w:rPr>
                      <w:rFonts w:ascii="Arial" w:hAnsi="Arial" w:cs="Arial"/>
                    </w:rPr>
                  </w:pPr>
                  <w:r w:rsidRPr="005C7362">
                    <w:rPr>
                      <w:rFonts w:ascii="Arial" w:hAnsi="Arial" w:cs="Arial"/>
                    </w:rPr>
                    <w:t xml:space="preserve">Odpiranje ponudb </w:t>
                  </w:r>
                </w:p>
                <w:p w:rsidR="00BB1D10" w:rsidRPr="005C7362" w:rsidRDefault="00BB1D10" w:rsidP="00BB1D10">
                  <w:pPr>
                    <w:tabs>
                      <w:tab w:val="left" w:pos="540"/>
                    </w:tabs>
                    <w:jc w:val="both"/>
                    <w:outlineLvl w:val="0"/>
                    <w:rPr>
                      <w:rFonts w:ascii="Arial" w:hAnsi="Arial" w:cs="Arial"/>
                    </w:rPr>
                  </w:pPr>
                  <w:r w:rsidRPr="005C7362">
                    <w:rPr>
                      <w:rFonts w:ascii="Arial" w:hAnsi="Arial" w:cs="Arial"/>
                    </w:rPr>
                    <w:t>(datum, ura, e-naslov):</w:t>
                  </w:r>
                </w:p>
              </w:tc>
              <w:tc>
                <w:tcPr>
                  <w:tcW w:w="1979" w:type="dxa"/>
                  <w:vAlign w:val="center"/>
                </w:tcPr>
                <w:p w:rsidR="00BB1D10" w:rsidRPr="005C7362" w:rsidRDefault="007C64DC" w:rsidP="00BB1D10">
                  <w:pPr>
                    <w:tabs>
                      <w:tab w:val="left" w:pos="540"/>
                    </w:tabs>
                    <w:jc w:val="center"/>
                    <w:outlineLvl w:val="0"/>
                    <w:rPr>
                      <w:rFonts w:ascii="Arial" w:hAnsi="Arial"/>
                      <w:b/>
                    </w:rPr>
                  </w:pPr>
                  <w:r>
                    <w:rPr>
                      <w:rFonts w:ascii="Arial" w:hAnsi="Arial" w:cs="Arial"/>
                      <w:b/>
                    </w:rPr>
                    <w:t>31</w:t>
                  </w:r>
                  <w:r w:rsidR="00BB1D10" w:rsidRPr="005C7362">
                    <w:rPr>
                      <w:rFonts w:ascii="Arial" w:hAnsi="Arial" w:cs="Arial"/>
                      <w:b/>
                    </w:rPr>
                    <w:t xml:space="preserve">. </w:t>
                  </w:r>
                  <w:r w:rsidR="00BB1D10">
                    <w:rPr>
                      <w:rFonts w:ascii="Arial" w:hAnsi="Arial" w:cs="Arial"/>
                      <w:b/>
                    </w:rPr>
                    <w:t>5</w:t>
                  </w:r>
                  <w:r w:rsidR="00BB1D10" w:rsidRPr="005C7362">
                    <w:rPr>
                      <w:rFonts w:ascii="Arial" w:hAnsi="Arial" w:cs="Arial"/>
                      <w:b/>
                    </w:rPr>
                    <w:t>. 2022</w:t>
                  </w:r>
                </w:p>
              </w:tc>
              <w:tc>
                <w:tcPr>
                  <w:tcW w:w="1805" w:type="dxa"/>
                  <w:vAlign w:val="center"/>
                </w:tcPr>
                <w:p w:rsidR="00BB1D10" w:rsidRPr="005C7362" w:rsidRDefault="00BB1D10" w:rsidP="00BB1D10">
                  <w:pPr>
                    <w:tabs>
                      <w:tab w:val="left" w:pos="540"/>
                    </w:tabs>
                    <w:jc w:val="center"/>
                    <w:outlineLvl w:val="0"/>
                    <w:rPr>
                      <w:rFonts w:ascii="Arial" w:hAnsi="Arial"/>
                      <w:b/>
                    </w:rPr>
                  </w:pPr>
                  <w:r w:rsidRPr="005C7362">
                    <w:rPr>
                      <w:rFonts w:ascii="Arial" w:hAnsi="Arial" w:cs="Arial"/>
                      <w:b/>
                    </w:rPr>
                    <w:t>1</w:t>
                  </w:r>
                  <w:r>
                    <w:rPr>
                      <w:rFonts w:ascii="Arial" w:hAnsi="Arial" w:cs="Arial"/>
                      <w:b/>
                    </w:rPr>
                    <w:t>2</w:t>
                  </w:r>
                  <w:r w:rsidRPr="005C7362">
                    <w:rPr>
                      <w:rFonts w:ascii="Arial" w:hAnsi="Arial" w:cs="Arial"/>
                      <w:b/>
                    </w:rPr>
                    <w:t>:0</w:t>
                  </w:r>
                  <w:r>
                    <w:rPr>
                      <w:rFonts w:ascii="Arial" w:hAnsi="Arial" w:cs="Arial"/>
                      <w:b/>
                    </w:rPr>
                    <w:t>0</w:t>
                  </w:r>
                </w:p>
              </w:tc>
              <w:tc>
                <w:tcPr>
                  <w:tcW w:w="3096" w:type="dxa"/>
                </w:tcPr>
                <w:p w:rsidR="00BB1D10" w:rsidRPr="005C7362" w:rsidRDefault="007C64DC" w:rsidP="00BB1D10">
                  <w:pPr>
                    <w:tabs>
                      <w:tab w:val="left" w:pos="540"/>
                    </w:tabs>
                    <w:jc w:val="both"/>
                    <w:outlineLvl w:val="0"/>
                    <w:rPr>
                      <w:rFonts w:ascii="Arial" w:hAnsi="Arial" w:cs="Arial"/>
                    </w:rPr>
                  </w:pPr>
                  <w:hyperlink r:id="rId9" w:history="1">
                    <w:r w:rsidR="00BB1D10" w:rsidRPr="005C7362">
                      <w:rPr>
                        <w:rStyle w:val="Hiperpovezava"/>
                        <w:rFonts w:ascii="Arial" w:hAnsi="Arial" w:cs="Arial"/>
                      </w:rPr>
                      <w:t>https://ejn.gov.si/eJN2</w:t>
                    </w:r>
                  </w:hyperlink>
                </w:p>
                <w:p w:rsidR="00BB1D10" w:rsidRPr="005C7362" w:rsidRDefault="00BB1D10" w:rsidP="00BB1D10">
                  <w:pPr>
                    <w:tabs>
                      <w:tab w:val="left" w:pos="540"/>
                    </w:tabs>
                    <w:jc w:val="both"/>
                    <w:outlineLvl w:val="0"/>
                    <w:rPr>
                      <w:rFonts w:ascii="Arial" w:hAnsi="Arial" w:cs="Arial"/>
                    </w:rPr>
                  </w:pPr>
                </w:p>
              </w:tc>
            </w:tr>
          </w:tbl>
          <w:p w:rsidR="00BB1D10" w:rsidRDefault="00BB1D10" w:rsidP="00BB1D10">
            <w:pPr>
              <w:pStyle w:val="Odstavekseznama"/>
              <w:rPr>
                <w:rFonts w:ascii="Arial" w:hAnsi="Arial" w:cs="Arial"/>
                <w:sz w:val="22"/>
                <w:szCs w:val="22"/>
              </w:rPr>
            </w:pPr>
          </w:p>
          <w:p w:rsidR="00FF6F18" w:rsidRDefault="00FF6F18" w:rsidP="00BB1D10">
            <w:pPr>
              <w:pStyle w:val="Odstavekseznama"/>
              <w:rPr>
                <w:rFonts w:ascii="Arial" w:hAnsi="Arial" w:cs="Arial"/>
                <w:sz w:val="22"/>
                <w:szCs w:val="22"/>
              </w:rPr>
            </w:pPr>
            <w:bookmarkStart w:id="1" w:name="_GoBack"/>
            <w:bookmarkEnd w:id="1"/>
          </w:p>
          <w:p w:rsidR="00B941FE" w:rsidRPr="00BB1D10" w:rsidRDefault="00B941FE" w:rsidP="00FF6F18">
            <w:pPr>
              <w:pStyle w:val="Odstavekseznama"/>
              <w:numPr>
                <w:ilvl w:val="0"/>
                <w:numId w:val="6"/>
              </w:numPr>
              <w:rPr>
                <w:rFonts w:ascii="Arial" w:hAnsi="Arial" w:cs="Arial"/>
                <w:sz w:val="22"/>
                <w:szCs w:val="22"/>
              </w:rPr>
            </w:pPr>
            <w:r w:rsidRPr="00BB1D10">
              <w:rPr>
                <w:rFonts w:ascii="Arial" w:hAnsi="Arial" w:cs="Arial"/>
                <w:sz w:val="22"/>
                <w:szCs w:val="22"/>
              </w:rPr>
              <w:t>V p</w:t>
            </w:r>
            <w:r w:rsidR="00BB1D10">
              <w:rPr>
                <w:rFonts w:ascii="Arial" w:hAnsi="Arial" w:cs="Arial"/>
                <w:sz w:val="22"/>
                <w:szCs w:val="22"/>
              </w:rPr>
              <w:t>o</w:t>
            </w:r>
            <w:r w:rsidRPr="00BB1D10">
              <w:rPr>
                <w:rFonts w:ascii="Arial" w:hAnsi="Arial" w:cs="Arial"/>
                <w:sz w:val="22"/>
                <w:szCs w:val="22"/>
              </w:rPr>
              <w:t xml:space="preserve">sebnih pogojih pogodbe se </w:t>
            </w:r>
            <w:proofErr w:type="spellStart"/>
            <w:r w:rsidRPr="00BB1D10">
              <w:rPr>
                <w:rFonts w:ascii="Arial" w:hAnsi="Arial" w:cs="Arial"/>
                <w:sz w:val="22"/>
                <w:szCs w:val="22"/>
              </w:rPr>
              <w:t>Podčlen</w:t>
            </w:r>
            <w:proofErr w:type="spellEnd"/>
            <w:r w:rsidRPr="00BB1D10">
              <w:rPr>
                <w:rFonts w:ascii="Arial" w:hAnsi="Arial" w:cs="Arial"/>
                <w:sz w:val="22"/>
                <w:szCs w:val="22"/>
              </w:rPr>
              <w:t xml:space="preserve"> 13.8 Prilagoditve zaradi spremembe stroškov spremeni tako, da se glasi:</w:t>
            </w:r>
          </w:p>
          <w:p w:rsidR="00B941FE" w:rsidRPr="00B941FE" w:rsidRDefault="00B941FE" w:rsidP="00BB1D10">
            <w:pPr>
              <w:ind w:left="731"/>
              <w:rPr>
                <w:rFonts w:ascii="Arial" w:hAnsi="Arial" w:cs="Arial"/>
                <w:sz w:val="22"/>
                <w:szCs w:val="22"/>
              </w:rPr>
            </w:pPr>
          </w:p>
          <w:p w:rsidR="00B941FE" w:rsidRPr="00B941FE" w:rsidRDefault="00B941FE" w:rsidP="00BB1D10">
            <w:pPr>
              <w:ind w:left="731"/>
              <w:rPr>
                <w:rFonts w:ascii="Arial" w:hAnsi="Arial" w:cs="Arial"/>
                <w:sz w:val="22"/>
                <w:szCs w:val="22"/>
              </w:rPr>
            </w:pPr>
          </w:p>
          <w:p w:rsidR="00B941FE" w:rsidRPr="00B941FE" w:rsidRDefault="00B941FE" w:rsidP="00BB1D10">
            <w:pPr>
              <w:spacing w:after="120" w:line="288" w:lineRule="auto"/>
              <w:ind w:left="731"/>
              <w:rPr>
                <w:rFonts w:ascii="Arial" w:hAnsi="Arial" w:cs="Arial"/>
                <w:b/>
                <w:sz w:val="22"/>
                <w:szCs w:val="22"/>
              </w:rPr>
            </w:pPr>
            <w:bookmarkStart w:id="2" w:name="_Hlk100057689"/>
            <w:r w:rsidRPr="00B941FE">
              <w:rPr>
                <w:rFonts w:ascii="Arial" w:hAnsi="Arial" w:cs="Arial"/>
                <w:b/>
                <w:sz w:val="22"/>
                <w:szCs w:val="22"/>
              </w:rPr>
              <w:t>»13.8        Prilagoditve zaradi spremembe stroškov</w:t>
            </w:r>
          </w:p>
          <w:p w:rsidR="00B941FE" w:rsidRPr="00B941FE" w:rsidRDefault="00B941FE" w:rsidP="00BB1D10">
            <w:pPr>
              <w:spacing w:after="120" w:line="288" w:lineRule="auto"/>
              <w:ind w:left="731"/>
              <w:rPr>
                <w:rFonts w:ascii="Arial" w:hAnsi="Arial" w:cs="Arial"/>
                <w:bCs/>
                <w:sz w:val="22"/>
                <w:szCs w:val="22"/>
              </w:rPr>
            </w:pPr>
            <w:proofErr w:type="spellStart"/>
            <w:r w:rsidRPr="00B941FE">
              <w:rPr>
                <w:rFonts w:ascii="Arial" w:hAnsi="Arial" w:cs="Arial"/>
                <w:bCs/>
                <w:sz w:val="22"/>
                <w:szCs w:val="22"/>
              </w:rPr>
              <w:t>Podčlen</w:t>
            </w:r>
            <w:proofErr w:type="spellEnd"/>
            <w:r w:rsidRPr="00B941FE">
              <w:rPr>
                <w:rFonts w:ascii="Arial" w:hAnsi="Arial" w:cs="Arial"/>
                <w:bCs/>
                <w:sz w:val="22"/>
                <w:szCs w:val="22"/>
              </w:rPr>
              <w:t xml:space="preserve"> 13.8 se spremeni, tako da spremenjen glasi:</w:t>
            </w:r>
          </w:p>
          <w:p w:rsidR="007E5707" w:rsidRPr="007E5707" w:rsidRDefault="007E5707" w:rsidP="00BB1D10">
            <w:pPr>
              <w:ind w:left="731"/>
              <w:jc w:val="both"/>
              <w:rPr>
                <w:rFonts w:ascii="Arial" w:hAnsi="Arial" w:cs="Arial"/>
              </w:rPr>
            </w:pPr>
            <w:r>
              <w:rPr>
                <w:rFonts w:ascii="Arial" w:hAnsi="Arial" w:cs="Arial"/>
              </w:rPr>
              <w:t xml:space="preserve">»Naročnik bo izvajalcu priznal valorizacijo cen z upoštevanjem indeksa, izračunanega kot povprečno vrednost indeksa za »inženirske gradnje (št. 50)«, ki ga objavlja gospodarska zbornica Slovenije, zbornica gradbeništva in industrije gradbenega materiala (GZ ZGIGM) ter indeksa cen življenjskih potrebščin, ki ga </w:t>
            </w:r>
            <w:r w:rsidRPr="007E5707">
              <w:rPr>
                <w:rFonts w:ascii="Arial" w:hAnsi="Arial" w:cs="Arial"/>
              </w:rPr>
              <w:t xml:space="preserve">objavlja statistični urad RS. </w:t>
            </w:r>
          </w:p>
          <w:p w:rsidR="007E5707" w:rsidRPr="007E5707" w:rsidRDefault="007E5707" w:rsidP="00BB1D10">
            <w:pPr>
              <w:ind w:left="731"/>
              <w:jc w:val="both"/>
              <w:rPr>
                <w:rFonts w:ascii="Calibri" w:hAnsi="Calibri" w:cs="Calibri"/>
              </w:rPr>
            </w:pPr>
          </w:p>
          <w:p w:rsidR="007E5707" w:rsidRPr="007E5707" w:rsidRDefault="007E5707" w:rsidP="00BB1D10">
            <w:pPr>
              <w:ind w:left="731"/>
              <w:jc w:val="both"/>
              <w:rPr>
                <w:rFonts w:ascii="Arial" w:hAnsi="Arial" w:cs="Arial"/>
              </w:rPr>
            </w:pPr>
            <w:r w:rsidRPr="007E5707">
              <w:rPr>
                <w:rFonts w:ascii="Arial" w:hAnsi="Arial" w:cs="Arial"/>
              </w:rPr>
              <w:t xml:space="preserve">Indeks se izračuna kot verižni indeks po formuli: </w:t>
            </w:r>
          </w:p>
          <w:p w:rsidR="007E5707" w:rsidRPr="007E5707" w:rsidRDefault="007E5707" w:rsidP="00BB1D10">
            <w:pPr>
              <w:ind w:left="731"/>
              <w:rPr>
                <w:rFonts w:ascii="Arial" w:hAnsi="Arial" w:cs="Arial"/>
              </w:rPr>
            </w:pPr>
            <w:proofErr w:type="spellStart"/>
            <w:r w:rsidRPr="007E5707">
              <w:rPr>
                <w:rFonts w:ascii="Arial" w:hAnsi="Arial" w:cs="Arial"/>
              </w:rPr>
              <w:t>Kr</w:t>
            </w:r>
            <w:proofErr w:type="spellEnd"/>
            <w:r w:rsidRPr="007E5707">
              <w:rPr>
                <w:rFonts w:ascii="Arial" w:hAnsi="Arial" w:cs="Arial"/>
              </w:rPr>
              <w:t xml:space="preserve"> = 0,5 H50 + 0,5 ICŽP</w:t>
            </w:r>
          </w:p>
          <w:p w:rsidR="007E5707" w:rsidRPr="007E5707" w:rsidRDefault="007E5707" w:rsidP="00BB1D10">
            <w:pPr>
              <w:ind w:left="731"/>
              <w:rPr>
                <w:rFonts w:ascii="Arial" w:hAnsi="Arial" w:cs="Arial"/>
              </w:rPr>
            </w:pPr>
            <w:r w:rsidRPr="007E5707">
              <w:rPr>
                <w:rFonts w:ascii="Arial" w:hAnsi="Arial" w:cs="Arial"/>
              </w:rPr>
              <w:t>kjer je:</w:t>
            </w:r>
          </w:p>
          <w:p w:rsidR="007E5707" w:rsidRPr="007E5707" w:rsidRDefault="007E5707" w:rsidP="00BB1D10">
            <w:pPr>
              <w:ind w:left="731"/>
              <w:rPr>
                <w:rFonts w:ascii="Arial" w:hAnsi="Arial" w:cs="Arial"/>
              </w:rPr>
            </w:pPr>
            <w:proofErr w:type="spellStart"/>
            <w:r w:rsidRPr="007E5707">
              <w:rPr>
                <w:rFonts w:ascii="Arial" w:hAnsi="Arial" w:cs="Arial"/>
              </w:rPr>
              <w:t>Kr</w:t>
            </w:r>
            <w:proofErr w:type="spellEnd"/>
            <w:r w:rsidRPr="007E5707">
              <w:rPr>
                <w:rFonts w:ascii="Arial" w:hAnsi="Arial" w:cs="Arial"/>
              </w:rPr>
              <w:t xml:space="preserve"> – faktor revalorizacije</w:t>
            </w:r>
          </w:p>
          <w:p w:rsidR="007E5707" w:rsidRPr="007E5707" w:rsidRDefault="007E5707" w:rsidP="00BB1D10">
            <w:pPr>
              <w:ind w:left="731"/>
              <w:rPr>
                <w:rFonts w:ascii="Arial" w:hAnsi="Arial" w:cs="Arial"/>
              </w:rPr>
            </w:pPr>
            <w:r w:rsidRPr="007E5707">
              <w:rPr>
                <w:rFonts w:ascii="Arial" w:hAnsi="Arial" w:cs="Arial"/>
              </w:rPr>
              <w:t>H50 – povprečni indeks za inženirske gradnje – povzet iz publikacije ZGIGM GZS</w:t>
            </w:r>
          </w:p>
          <w:p w:rsidR="007E5707" w:rsidRDefault="007E5707" w:rsidP="00BB1D10">
            <w:pPr>
              <w:ind w:left="731"/>
              <w:rPr>
                <w:rFonts w:ascii="Arial" w:hAnsi="Arial" w:cs="Arial"/>
              </w:rPr>
            </w:pPr>
            <w:r w:rsidRPr="007E5707">
              <w:rPr>
                <w:rFonts w:ascii="Arial" w:hAnsi="Arial" w:cs="Arial"/>
              </w:rPr>
              <w:t>ICŽŠ – indeks cen življenjskih potrebščin</w:t>
            </w:r>
          </w:p>
          <w:p w:rsidR="00CD196A" w:rsidRDefault="00CD196A" w:rsidP="00BB1D10">
            <w:pPr>
              <w:ind w:left="731"/>
              <w:jc w:val="both"/>
              <w:rPr>
                <w:rFonts w:ascii="Arial" w:eastAsia="Calibri" w:hAnsi="Arial" w:cs="Arial"/>
                <w:sz w:val="22"/>
                <w:szCs w:val="22"/>
              </w:rPr>
            </w:pPr>
          </w:p>
          <w:p w:rsidR="00861CA6" w:rsidRDefault="00CD196A" w:rsidP="00BB1D10">
            <w:pPr>
              <w:ind w:left="731"/>
              <w:jc w:val="both"/>
              <w:rPr>
                <w:rFonts w:ascii="Arial" w:eastAsia="Calibri" w:hAnsi="Arial" w:cs="Arial"/>
                <w:sz w:val="22"/>
                <w:szCs w:val="22"/>
              </w:rPr>
            </w:pPr>
            <w:r>
              <w:rPr>
                <w:rFonts w:ascii="Arial" w:eastAsia="Calibri" w:hAnsi="Arial" w:cs="Arial"/>
                <w:sz w:val="22"/>
                <w:szCs w:val="22"/>
              </w:rPr>
              <w:t xml:space="preserve">Prva valorizacija cen se izvede, ko </w:t>
            </w:r>
            <w:proofErr w:type="spellStart"/>
            <w:r>
              <w:rPr>
                <w:rFonts w:ascii="Arial" w:eastAsia="Calibri" w:hAnsi="Arial" w:cs="Arial"/>
                <w:sz w:val="22"/>
                <w:szCs w:val="22"/>
              </w:rPr>
              <w:t>komulativno</w:t>
            </w:r>
            <w:proofErr w:type="spellEnd"/>
            <w:r>
              <w:rPr>
                <w:rFonts w:ascii="Arial" w:eastAsia="Calibri" w:hAnsi="Arial" w:cs="Arial"/>
                <w:sz w:val="22"/>
                <w:szCs w:val="22"/>
              </w:rPr>
              <w:t xml:space="preserve"> povečanje ali zmanjšanje </w:t>
            </w:r>
            <w:r w:rsidR="00AD4804">
              <w:rPr>
                <w:rFonts w:ascii="Arial" w:eastAsia="Calibri" w:hAnsi="Arial" w:cs="Arial"/>
                <w:sz w:val="22"/>
                <w:szCs w:val="22"/>
              </w:rPr>
              <w:t>dogovorjenega indeksa cen iz prejšn</w:t>
            </w:r>
            <w:r w:rsidR="007E5707">
              <w:rPr>
                <w:rFonts w:ascii="Arial" w:eastAsia="Calibri" w:hAnsi="Arial" w:cs="Arial"/>
                <w:sz w:val="22"/>
                <w:szCs w:val="22"/>
              </w:rPr>
              <w:t>j</w:t>
            </w:r>
            <w:r w:rsidR="00AD4804">
              <w:rPr>
                <w:rFonts w:ascii="Arial" w:eastAsia="Calibri" w:hAnsi="Arial" w:cs="Arial"/>
                <w:sz w:val="22"/>
                <w:szCs w:val="22"/>
              </w:rPr>
              <w:t xml:space="preserve">ega odstavka </w:t>
            </w:r>
            <w:r>
              <w:rPr>
                <w:rFonts w:ascii="Arial" w:eastAsia="Calibri" w:hAnsi="Arial" w:cs="Arial"/>
                <w:sz w:val="22"/>
                <w:szCs w:val="22"/>
              </w:rPr>
              <w:t>preseže</w:t>
            </w:r>
            <w:r w:rsidR="00AD4804">
              <w:rPr>
                <w:rFonts w:ascii="Arial" w:eastAsia="Calibri" w:hAnsi="Arial" w:cs="Arial"/>
                <w:sz w:val="22"/>
                <w:szCs w:val="22"/>
              </w:rPr>
              <w:t xml:space="preserve"> 2% vrednosti, šteto od roka za oddajo ponudb. Po izvedeni prvi valorizaciji se cene po poteku vsakega nadaljnjega obračunskega obdobja usklajujejo glede na dogovorjeni indeks, pri čemer se upoštevajo tako povišanja kot tudi znižanja indeksa. Naročnik pri vsaki mesečni </w:t>
            </w:r>
            <w:r w:rsidR="00AD4804">
              <w:rPr>
                <w:rFonts w:ascii="Arial" w:eastAsia="Calibri" w:hAnsi="Arial" w:cs="Arial"/>
                <w:sz w:val="22"/>
                <w:szCs w:val="22"/>
              </w:rPr>
              <w:lastRenderedPageBreak/>
              <w:t>situaciji prizna zvišanje oziroma znižanje indeksa, ki je veljalo v obdobju, na katero se situacija nanaša.</w:t>
            </w:r>
          </w:p>
          <w:p w:rsidR="00861CA6" w:rsidRDefault="00861CA6" w:rsidP="00BB1D10">
            <w:pPr>
              <w:ind w:left="731"/>
              <w:jc w:val="both"/>
              <w:rPr>
                <w:rFonts w:ascii="Arial" w:eastAsia="Calibri" w:hAnsi="Arial" w:cs="Arial"/>
                <w:sz w:val="22"/>
                <w:szCs w:val="22"/>
              </w:rPr>
            </w:pPr>
          </w:p>
          <w:p w:rsidR="00CD196A" w:rsidRDefault="00861CA6" w:rsidP="00BB1D10">
            <w:pPr>
              <w:ind w:left="731"/>
              <w:jc w:val="both"/>
              <w:rPr>
                <w:rFonts w:ascii="Arial" w:eastAsia="Calibri" w:hAnsi="Arial" w:cs="Arial"/>
                <w:sz w:val="22"/>
                <w:szCs w:val="22"/>
              </w:rPr>
            </w:pPr>
            <w:r>
              <w:rPr>
                <w:rFonts w:ascii="Arial" w:eastAsia="Calibri" w:hAnsi="Arial" w:cs="Arial"/>
                <w:sz w:val="22"/>
                <w:szCs w:val="22"/>
              </w:rPr>
              <w:t>Valorizacija cen znaša 100</w:t>
            </w:r>
            <w:r w:rsidR="007E5707">
              <w:rPr>
                <w:rFonts w:ascii="Arial" w:eastAsia="Calibri" w:hAnsi="Arial" w:cs="Arial"/>
                <w:sz w:val="22"/>
                <w:szCs w:val="22"/>
              </w:rPr>
              <w:t xml:space="preserve"> %</w:t>
            </w:r>
            <w:r>
              <w:rPr>
                <w:rFonts w:ascii="Arial" w:eastAsia="Calibri" w:hAnsi="Arial" w:cs="Arial"/>
                <w:sz w:val="22"/>
                <w:szCs w:val="22"/>
              </w:rPr>
              <w:t xml:space="preserve"> povišanja oziroma znižanja dogovorjenega indeksa.</w:t>
            </w:r>
            <w:r w:rsidR="00AD4804">
              <w:rPr>
                <w:rFonts w:ascii="Arial" w:eastAsia="Calibri" w:hAnsi="Arial" w:cs="Arial"/>
                <w:sz w:val="22"/>
                <w:szCs w:val="22"/>
              </w:rPr>
              <w:t>«</w:t>
            </w:r>
          </w:p>
          <w:bookmarkEnd w:id="2"/>
          <w:p w:rsidR="000B5CC3" w:rsidRPr="00AD4804" w:rsidRDefault="000B5CC3" w:rsidP="00AD4804">
            <w:pPr>
              <w:pBdr>
                <w:top w:val="nil"/>
                <w:left w:val="nil"/>
                <w:bottom w:val="nil"/>
                <w:right w:val="nil"/>
                <w:between w:val="nil"/>
              </w:pBdr>
              <w:rPr>
                <w:rFonts w:ascii="Arial" w:eastAsia="Arial" w:hAnsi="Arial" w:cs="Arial"/>
                <w:color w:val="000000"/>
                <w:sz w:val="22"/>
                <w:szCs w:val="22"/>
              </w:rPr>
            </w:pPr>
          </w:p>
        </w:tc>
      </w:tr>
    </w:tbl>
    <w:p w:rsidR="000238FE" w:rsidRDefault="000238FE">
      <w:pPr>
        <w:pBdr>
          <w:top w:val="nil"/>
          <w:left w:val="nil"/>
          <w:bottom w:val="nil"/>
          <w:right w:val="nil"/>
          <w:between w:val="nil"/>
        </w:pBdr>
        <w:rPr>
          <w:rFonts w:ascii="Arial" w:eastAsia="Arial" w:hAnsi="Arial" w:cs="Arial"/>
          <w:color w:val="000000"/>
          <w:sz w:val="22"/>
          <w:szCs w:val="22"/>
        </w:rPr>
      </w:pPr>
    </w:p>
    <w:p w:rsidR="002C7070" w:rsidRDefault="00775AF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Spremembe so sestavni del razpisne dokumentacije in jih je potrebno upoštevati pri pripravi ponudbe.</w:t>
      </w:r>
    </w:p>
    <w:sectPr w:rsidR="002C7070">
      <w:headerReference w:type="even" r:id="rId10"/>
      <w:headerReference w:type="default" r:id="rId11"/>
      <w:footerReference w:type="even" r:id="rId12"/>
      <w:footerReference w:type="default" r:id="rId13"/>
      <w:headerReference w:type="first" r:id="rId14"/>
      <w:footerReference w:type="first" r:id="rId15"/>
      <w:pgSz w:w="11907" w:h="16840"/>
      <w:pgMar w:top="1418" w:right="1418" w:bottom="1418" w:left="1418" w:header="284"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73" w:rsidRDefault="001B6373">
      <w:r>
        <w:separator/>
      </w:r>
    </w:p>
  </w:endnote>
  <w:endnote w:type="continuationSeparator" w:id="0">
    <w:p w:rsidR="001B6373" w:rsidRDefault="001B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16"/>
        <w:szCs w:val="16"/>
      </w:rPr>
    </w:pPr>
  </w:p>
  <w:tbl>
    <w:tblPr>
      <w:tblStyle w:val="a3"/>
      <w:tblW w:w="9430" w:type="dxa"/>
      <w:tblInd w:w="0" w:type="dxa"/>
      <w:tblLayout w:type="fixed"/>
      <w:tblLook w:val="0000" w:firstRow="0" w:lastRow="0" w:firstColumn="0" w:lastColumn="0" w:noHBand="0" w:noVBand="0"/>
    </w:tblPr>
    <w:tblGrid>
      <w:gridCol w:w="3614"/>
      <w:gridCol w:w="956"/>
      <w:gridCol w:w="1620"/>
      <w:gridCol w:w="3240"/>
    </w:tblGrid>
    <w:tr w:rsidR="002C7070">
      <w:trPr>
        <w:trHeight w:val="785"/>
      </w:trPr>
      <w:tc>
        <w:tcPr>
          <w:tcW w:w="3614" w:type="dxa"/>
          <w:tcBorders>
            <w:top w:val="single" w:sz="4" w:space="0" w:color="000000"/>
          </w:tcBorders>
          <w:vAlign w:val="center"/>
        </w:tcPr>
        <w:p w:rsidR="002C7070" w:rsidRDefault="002C7070">
          <w:pPr>
            <w:pBdr>
              <w:top w:val="nil"/>
              <w:left w:val="nil"/>
              <w:bottom w:val="nil"/>
              <w:right w:val="nil"/>
              <w:between w:val="nil"/>
            </w:pBdr>
            <w:tabs>
              <w:tab w:val="left" w:pos="456"/>
              <w:tab w:val="left" w:pos="1164"/>
              <w:tab w:val="left" w:pos="3432"/>
              <w:tab w:val="left" w:pos="9483"/>
            </w:tabs>
            <w:rPr>
              <w:rFonts w:ascii="Arial" w:eastAsia="Arial" w:hAnsi="Arial" w:cs="Arial"/>
              <w:color w:val="000000"/>
              <w:sz w:val="16"/>
              <w:szCs w:val="16"/>
            </w:rPr>
          </w:pPr>
        </w:p>
      </w:tc>
      <w:tc>
        <w:tcPr>
          <w:tcW w:w="956" w:type="dxa"/>
          <w:tcBorders>
            <w:top w:val="single" w:sz="4" w:space="0" w:color="000000"/>
          </w:tcBorders>
          <w:vAlign w:val="center"/>
        </w:tcPr>
        <w:p w:rsidR="002C7070" w:rsidRDefault="002C7070">
          <w:pPr>
            <w:pBdr>
              <w:top w:val="nil"/>
              <w:left w:val="nil"/>
              <w:bottom w:val="nil"/>
              <w:right w:val="nil"/>
              <w:between w:val="nil"/>
            </w:pBdr>
            <w:tabs>
              <w:tab w:val="right" w:pos="1247"/>
            </w:tabs>
            <w:jc w:val="center"/>
            <w:rPr>
              <w:rFonts w:ascii="Arial" w:eastAsia="Arial" w:hAnsi="Arial" w:cs="Arial"/>
              <w:color w:val="000000"/>
              <w:sz w:val="14"/>
              <w:szCs w:val="14"/>
            </w:rPr>
          </w:pPr>
        </w:p>
      </w:tc>
      <w:tc>
        <w:tcPr>
          <w:tcW w:w="1620" w:type="dxa"/>
          <w:tcBorders>
            <w:top w:val="single" w:sz="4" w:space="0" w:color="000000"/>
          </w:tcBorders>
          <w:vAlign w:val="center"/>
        </w:tcPr>
        <w:p w:rsidR="002C7070" w:rsidRDefault="002C7070">
          <w:pPr>
            <w:pBdr>
              <w:top w:val="nil"/>
              <w:left w:val="nil"/>
              <w:bottom w:val="nil"/>
              <w:right w:val="nil"/>
              <w:between w:val="nil"/>
            </w:pBdr>
            <w:tabs>
              <w:tab w:val="center" w:pos="4320"/>
              <w:tab w:val="right" w:pos="8640"/>
            </w:tabs>
            <w:rPr>
              <w:color w:val="000000"/>
              <w:sz w:val="16"/>
              <w:szCs w:val="16"/>
            </w:rPr>
          </w:pPr>
        </w:p>
      </w:tc>
      <w:tc>
        <w:tcPr>
          <w:tcW w:w="3240" w:type="dxa"/>
          <w:tcBorders>
            <w:top w:val="single" w:sz="4" w:space="0" w:color="000000"/>
          </w:tcBorders>
          <w:vAlign w:val="center"/>
        </w:tcPr>
        <w:p w:rsidR="002C7070" w:rsidRDefault="00775AFE">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stran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7C64DC">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od </w:t>
          </w:r>
          <w:r>
            <w:rPr>
              <w:color w:val="000000"/>
              <w:sz w:val="16"/>
              <w:szCs w:val="16"/>
            </w:rPr>
            <w:fldChar w:fldCharType="begin"/>
          </w:r>
          <w:r>
            <w:rPr>
              <w:color w:val="000000"/>
              <w:sz w:val="16"/>
              <w:szCs w:val="16"/>
            </w:rPr>
            <w:instrText>NUMPAGES</w:instrText>
          </w:r>
          <w:r>
            <w:rPr>
              <w:color w:val="000000"/>
              <w:sz w:val="16"/>
              <w:szCs w:val="16"/>
            </w:rPr>
            <w:fldChar w:fldCharType="separate"/>
          </w:r>
          <w:r w:rsidR="007C64DC">
            <w:rPr>
              <w:noProof/>
              <w:color w:val="000000"/>
              <w:sz w:val="16"/>
              <w:szCs w:val="16"/>
            </w:rPr>
            <w:t>2</w:t>
          </w:r>
          <w:r>
            <w:rPr>
              <w:color w:val="000000"/>
              <w:sz w:val="16"/>
              <w:szCs w:val="16"/>
            </w:rPr>
            <w:fldChar w:fldCharType="end"/>
          </w:r>
        </w:p>
      </w:tc>
    </w:tr>
  </w:tbl>
  <w:p w:rsidR="002C7070" w:rsidRDefault="002C7070">
    <w:pPr>
      <w:pBdr>
        <w:top w:val="nil"/>
        <w:left w:val="nil"/>
        <w:bottom w:val="nil"/>
        <w:right w:val="nil"/>
        <w:between w:val="nil"/>
      </w:pBdr>
      <w:tabs>
        <w:tab w:val="center" w:pos="4320"/>
        <w:tab w:val="right" w:pos="8640"/>
      </w:tabs>
      <w:rPr>
        <w:rFonts w:ascii="Arial" w:eastAsia="Arial" w:hAnsi="Arial" w:cs="Arial"/>
        <w:color w:val="000000"/>
        <w:sz w:val="2"/>
        <w:szCs w:val="2"/>
      </w:rPr>
    </w:pPr>
  </w:p>
  <w:p w:rsidR="002C7070" w:rsidRDefault="002C7070">
    <w:pPr>
      <w:pBdr>
        <w:top w:val="nil"/>
        <w:left w:val="nil"/>
        <w:bottom w:val="nil"/>
        <w:right w:val="nil"/>
        <w:between w:val="nil"/>
      </w:pBdr>
      <w:tabs>
        <w:tab w:val="center" w:pos="4320"/>
        <w:tab w:val="right" w:pos="864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775AFE">
    <w:pPr>
      <w:pBdr>
        <w:top w:val="nil"/>
        <w:left w:val="nil"/>
        <w:bottom w:val="nil"/>
        <w:right w:val="nil"/>
        <w:between w:val="nil"/>
      </w:pBdr>
      <w:tabs>
        <w:tab w:val="center" w:pos="4320"/>
        <w:tab w:val="right" w:pos="8640"/>
      </w:tabs>
      <w:ind w:firstLine="540"/>
      <w:rPr>
        <w:color w:val="000000"/>
        <w:sz w:val="24"/>
        <w:szCs w:val="24"/>
      </w:rPr>
    </w:pPr>
    <w:r>
      <w:rPr>
        <w:color w:val="000000"/>
        <w:sz w:val="24"/>
        <w:szCs w:val="24"/>
      </w:rPr>
      <w:t xml:space="preserve">  </w:t>
    </w:r>
    <w:r>
      <w:rPr>
        <w:noProof/>
        <w:color w:val="000000"/>
        <w:sz w:val="24"/>
        <w:szCs w:val="24"/>
      </w:rPr>
      <w:drawing>
        <wp:inline distT="0" distB="0" distL="114300" distR="114300">
          <wp:extent cx="542290" cy="43307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2290" cy="433070"/>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114300" distR="114300">
          <wp:extent cx="433070" cy="43307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33070" cy="433070"/>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114300" distR="114300">
          <wp:extent cx="2339975" cy="33782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339975" cy="337820"/>
                  </a:xfrm>
                  <a:prstGeom prst="rect">
                    <a:avLst/>
                  </a:prstGeom>
                  <a:ln/>
                </pic:spPr>
              </pic:pic>
            </a:graphicData>
          </a:graphic>
        </wp:inline>
      </w:drawing>
    </w:r>
    <w:r>
      <w:rPr>
        <w:color w:val="000000"/>
        <w:sz w:val="24"/>
        <w:szCs w:val="24"/>
      </w:rPr>
      <w:t xml:space="preserve">        </w:t>
    </w:r>
  </w:p>
  <w:p w:rsidR="002C7070" w:rsidRDefault="002C7070">
    <w:pPr>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73" w:rsidRDefault="001B6373">
      <w:r>
        <w:separator/>
      </w:r>
    </w:p>
  </w:footnote>
  <w:footnote w:type="continuationSeparator" w:id="0">
    <w:p w:rsidR="001B6373" w:rsidRDefault="001B6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 w15:restartNumberingAfterBreak="0">
    <w:nsid w:val="2CB55EF5"/>
    <w:multiLevelType w:val="hybridMultilevel"/>
    <w:tmpl w:val="DF707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685A1E"/>
    <w:multiLevelType w:val="hybridMultilevel"/>
    <w:tmpl w:val="E2B280D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CA70296"/>
    <w:multiLevelType w:val="hybridMultilevel"/>
    <w:tmpl w:val="26AE5F3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8E22C06"/>
    <w:multiLevelType w:val="hybridMultilevel"/>
    <w:tmpl w:val="51F8E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913542"/>
    <w:multiLevelType w:val="multilevel"/>
    <w:tmpl w:val="E868A1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9741ADC"/>
    <w:multiLevelType w:val="hybridMultilevel"/>
    <w:tmpl w:val="54861F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70"/>
    <w:rsid w:val="000238FE"/>
    <w:rsid w:val="000B5CC3"/>
    <w:rsid w:val="001B6373"/>
    <w:rsid w:val="002C7070"/>
    <w:rsid w:val="002E7863"/>
    <w:rsid w:val="00302FFB"/>
    <w:rsid w:val="00396098"/>
    <w:rsid w:val="004E4F0C"/>
    <w:rsid w:val="005A5B1B"/>
    <w:rsid w:val="006A23CA"/>
    <w:rsid w:val="00775AFE"/>
    <w:rsid w:val="0077696C"/>
    <w:rsid w:val="007B61A2"/>
    <w:rsid w:val="007C64DC"/>
    <w:rsid w:val="007E5707"/>
    <w:rsid w:val="00861CA6"/>
    <w:rsid w:val="008D0163"/>
    <w:rsid w:val="009329E2"/>
    <w:rsid w:val="00971B06"/>
    <w:rsid w:val="009E4AD3"/>
    <w:rsid w:val="00AD278C"/>
    <w:rsid w:val="00AD4804"/>
    <w:rsid w:val="00AE233E"/>
    <w:rsid w:val="00B5646F"/>
    <w:rsid w:val="00B941FE"/>
    <w:rsid w:val="00BB1D10"/>
    <w:rsid w:val="00CD196A"/>
    <w:rsid w:val="00DE67E7"/>
    <w:rsid w:val="00E5099A"/>
    <w:rsid w:val="00EE2B52"/>
    <w:rsid w:val="00F13610"/>
    <w:rsid w:val="00FF6F18"/>
    <w:rsid w:val="00FF79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9BC1"/>
  <w15:docId w15:val="{A4957DFE-05BF-403F-99EB-E302F015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paragraph" w:styleId="Odstavekseznama">
    <w:name w:val="List Paragraph"/>
    <w:basedOn w:val="Navaden"/>
    <w:uiPriority w:val="34"/>
    <w:qFormat/>
    <w:rsid w:val="002E7863"/>
    <w:pPr>
      <w:ind w:left="720"/>
      <w:contextualSpacing/>
    </w:pPr>
  </w:style>
  <w:style w:type="paragraph" w:customStyle="1" w:styleId="NavadenTimesNewRoman">
    <w:name w:val="Navaden Times New Roman"/>
    <w:basedOn w:val="Navaden"/>
    <w:rsid w:val="000B5CC3"/>
    <w:pPr>
      <w:widowControl w:val="0"/>
    </w:pPr>
    <w:rPr>
      <w:rFonts w:ascii="Arial" w:hAnsi="Arial"/>
      <w:sz w:val="22"/>
    </w:rPr>
  </w:style>
  <w:style w:type="character" w:styleId="Hiperpovezava">
    <w:name w:val="Hyperlink"/>
    <w:uiPriority w:val="99"/>
    <w:rsid w:val="00BB1D10"/>
    <w:rPr>
      <w:color w:val="0000FF"/>
      <w:u w:val="single"/>
    </w:rPr>
  </w:style>
  <w:style w:type="table" w:styleId="Tabelamrea">
    <w:name w:val="Table Grid"/>
    <w:basedOn w:val="Navadnatabela"/>
    <w:rsid w:val="00BB1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3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jn.gov.si/eJN2"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323</Words>
  <Characters>1845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 Beganovic</dc:creator>
  <cp:lastModifiedBy>Matjaž Kovač</cp:lastModifiedBy>
  <cp:revision>6</cp:revision>
  <dcterms:created xsi:type="dcterms:W3CDTF">2022-04-06T11:39:00Z</dcterms:created>
  <dcterms:modified xsi:type="dcterms:W3CDTF">2022-05-13T10:01:00Z</dcterms:modified>
</cp:coreProperties>
</file>